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39DE" w:rsidRDefault="00D539DE">
      <w:r w:rsidRPr="00D539DE">
        <w:t>Para medir el éxito de la implementación y expansión de la herramienta avanzada de análisis de datos con IA, utilizando los servicios en la nube de GCP y centrada en predecir tendencias o comportamientos anómalos en los datos recogidos, se deben seleccionar indicadores clave de rendimiento (</w:t>
      </w:r>
      <w:proofErr w:type="spellStart"/>
      <w:r w:rsidRPr="00D539DE">
        <w:t>KPIs</w:t>
      </w:r>
      <w:proofErr w:type="spellEnd"/>
      <w:r w:rsidRPr="00D539DE">
        <w:t xml:space="preserve">) que reflejen tanto el desempeño técnico del producto como su impacto comercial en los mercados </w:t>
      </w:r>
      <w:proofErr w:type="spellStart"/>
      <w:r w:rsidRPr="00D539DE">
        <w:t>objetivo.Indicadores</w:t>
      </w:r>
      <w:proofErr w:type="spellEnd"/>
      <w:r w:rsidRPr="00D539DE">
        <w:t xml:space="preserve"> Clave de Rendimiento (</w:t>
      </w:r>
      <w:proofErr w:type="spellStart"/>
      <w:r w:rsidRPr="00D539DE">
        <w:t>KPIs</w:t>
      </w:r>
      <w:proofErr w:type="spellEnd"/>
      <w:r w:rsidRPr="00D539DE">
        <w:t xml:space="preserve">)1. Indicadores de Desempeño del </w:t>
      </w:r>
      <w:proofErr w:type="spellStart"/>
      <w:r w:rsidRPr="00D539DE">
        <w:t>ProductoPrecisión</w:t>
      </w:r>
      <w:proofErr w:type="spellEnd"/>
      <w:r w:rsidRPr="00D539DE">
        <w:t xml:space="preserve"> de los Modelos Predictivos de </w:t>
      </w:r>
      <w:proofErr w:type="spellStart"/>
      <w:r w:rsidRPr="00D539DE">
        <w:t>IA:Descripción</w:t>
      </w:r>
      <w:proofErr w:type="spellEnd"/>
      <w:r w:rsidRPr="00D539DE">
        <w:t xml:space="preserve">: Evalúa qué tan precisos son los modelos predictivos de IA al identificar tendencias y anomalías en los </w:t>
      </w:r>
      <w:proofErr w:type="spellStart"/>
      <w:r w:rsidRPr="00D539DE">
        <w:t>datos.Fórmula</w:t>
      </w:r>
      <w:proofErr w:type="spellEnd"/>
      <w:r w:rsidRPr="00D539DE">
        <w:t xml:space="preserve">: (Número de predicciones correctas / Número total de predicciones) * 100.Objetivo: Mantener una precisión por encima del 90% en los escenarios de predicción </w:t>
      </w:r>
      <w:proofErr w:type="spellStart"/>
      <w:r w:rsidRPr="00D539DE">
        <w:t>clave.Tiempo</w:t>
      </w:r>
      <w:proofErr w:type="spellEnd"/>
      <w:r w:rsidRPr="00D539DE">
        <w:t xml:space="preserve"> de Respuesta del Análisis de </w:t>
      </w:r>
      <w:proofErr w:type="spellStart"/>
      <w:r w:rsidRPr="00D539DE">
        <w:t>Datos:Descripción</w:t>
      </w:r>
      <w:proofErr w:type="spellEnd"/>
      <w:r w:rsidRPr="00D539DE">
        <w:t xml:space="preserve">: Mide el tiempo que tarda la herramienta en procesar los datos y entregar resultados de predicción o detección de </w:t>
      </w:r>
      <w:proofErr w:type="spellStart"/>
      <w:r w:rsidRPr="00D539DE">
        <w:t>anomalías.Objetivo</w:t>
      </w:r>
      <w:proofErr w:type="spellEnd"/>
      <w:r w:rsidRPr="00D539DE">
        <w:t xml:space="preserve">: Mantener tiempos de respuesta dentro de los márgenes establecidos por los clientes (por ejemplo, menos de 5 segundos para grandes volúmenes de datos).Tasa de </w:t>
      </w:r>
      <w:proofErr w:type="spellStart"/>
      <w:r w:rsidRPr="00D539DE">
        <w:t>Uptime</w:t>
      </w:r>
      <w:proofErr w:type="spellEnd"/>
      <w:r w:rsidRPr="00D539DE">
        <w:t xml:space="preserve"> (Disponibilidad del Servicio):Descripción: Evalúa el porcentaje de tiempo en que la herramienta está disponible y funcionando sin </w:t>
      </w:r>
      <w:proofErr w:type="spellStart"/>
      <w:r w:rsidRPr="00D539DE">
        <w:t>interrupciones.Fórmula</w:t>
      </w:r>
      <w:proofErr w:type="spellEnd"/>
      <w:r w:rsidRPr="00D539DE">
        <w:t xml:space="preserve">: (Tiempo total de servicio operativo / Tiempo total de observación) * 100.Objetivo: Mantener una disponibilidad de servicio por encima del 99.9%, alineada con los estándares de GCP.2. Indicadores </w:t>
      </w:r>
      <w:proofErr w:type="spellStart"/>
      <w:r w:rsidRPr="00D539DE">
        <w:t>ComercialesCrecimiento</w:t>
      </w:r>
      <w:proofErr w:type="spellEnd"/>
      <w:r w:rsidRPr="00D539DE">
        <w:t xml:space="preserve"> de la Base de Clientes </w:t>
      </w:r>
      <w:proofErr w:type="spellStart"/>
      <w:r w:rsidRPr="00D539DE">
        <w:t>Internacional:Descripción</w:t>
      </w:r>
      <w:proofErr w:type="spellEnd"/>
      <w:r w:rsidRPr="00D539DE">
        <w:t xml:space="preserve">: Mide el número de nuevos clientes en mercados internacionales clave tras la expansión de la </w:t>
      </w:r>
      <w:proofErr w:type="spellStart"/>
      <w:r w:rsidRPr="00D539DE">
        <w:t>herramienta.Objetivo</w:t>
      </w:r>
      <w:proofErr w:type="spellEnd"/>
      <w:r w:rsidRPr="00D539DE">
        <w:t xml:space="preserve">: Aumentar la base de clientes internacionales en un 20-30% durante el primer año de </w:t>
      </w:r>
      <w:proofErr w:type="spellStart"/>
      <w:r w:rsidRPr="00D539DE">
        <w:t>expansión.Costo</w:t>
      </w:r>
      <w:proofErr w:type="spellEnd"/>
      <w:r w:rsidRPr="00D539DE">
        <w:t xml:space="preserve"> de Adquisición de Cliente (CAC):Descripción: Indica cuánto cuesta adquirir un nuevo cliente, incluyendo marketing, ventas y esfuerzos de </w:t>
      </w:r>
      <w:proofErr w:type="spellStart"/>
      <w:r w:rsidRPr="00D539DE">
        <w:t>soporte.Fórmula</w:t>
      </w:r>
      <w:proofErr w:type="spellEnd"/>
      <w:r w:rsidRPr="00D539DE">
        <w:t xml:space="preserve">: (Costos totales de adquisición / Número de nuevos clientes adquiridos).Objetivo: Optimizar y reducir el CAC con un enfoque en la eficiencia de las campañas de marketing </w:t>
      </w:r>
      <w:proofErr w:type="spellStart"/>
      <w:r w:rsidRPr="00D539DE">
        <w:t>internacional.Valor</w:t>
      </w:r>
      <w:proofErr w:type="spellEnd"/>
      <w:r w:rsidRPr="00D539DE">
        <w:t xml:space="preserve"> de Vida del Cliente (CLV o LTV):Descripción: Mide los ingresos proyectados que un cliente generará durante toda su relación con la </w:t>
      </w:r>
      <w:proofErr w:type="spellStart"/>
      <w:r w:rsidRPr="00D539DE">
        <w:t>empresa.Fórmula</w:t>
      </w:r>
      <w:proofErr w:type="spellEnd"/>
      <w:r w:rsidRPr="00D539DE">
        <w:t xml:space="preserve">: Ingreso promedio por cliente * Duración promedio de la relación con el </w:t>
      </w:r>
      <w:proofErr w:type="spellStart"/>
      <w:r w:rsidRPr="00D539DE">
        <w:t>cliente.Objetivo</w:t>
      </w:r>
      <w:proofErr w:type="spellEnd"/>
      <w:r w:rsidRPr="00D539DE">
        <w:t xml:space="preserve">: Incrementar el LTV mediante la creación de relaciones a largo plazo con los clientes, a través de servicios continuos y soporte técnico.3. Indicadores de Satisfacción y Retención de </w:t>
      </w:r>
      <w:proofErr w:type="spellStart"/>
      <w:r w:rsidRPr="00D539DE">
        <w:t>ClientesÍndice</w:t>
      </w:r>
      <w:proofErr w:type="spellEnd"/>
      <w:r w:rsidRPr="00D539DE">
        <w:t xml:space="preserve"> de Satisfacción del Cliente (CSAT):Descripción: Evalúa qué tan satisfechos están los clientes con la herramienta, el soporte y los resultados </w:t>
      </w:r>
      <w:proofErr w:type="spellStart"/>
      <w:r w:rsidRPr="00D539DE">
        <w:t>entregados.Fórmula</w:t>
      </w:r>
      <w:proofErr w:type="spellEnd"/>
      <w:r w:rsidRPr="00D539DE">
        <w:t xml:space="preserve">: (Total de puntuaciones de satisfacción / Total de encuestas realizadas) * 100.Objetivo: Mantener una puntuación CSAT superior a 85% en los mercados clave.Net </w:t>
      </w:r>
      <w:proofErr w:type="spellStart"/>
      <w:r w:rsidRPr="00D539DE">
        <w:t>Promoter</w:t>
      </w:r>
      <w:proofErr w:type="spellEnd"/>
      <w:r w:rsidRPr="00D539DE">
        <w:t xml:space="preserve"> Score (NPS):Descripción: Mide la disposición de los clientes a recomendar la herramienta a </w:t>
      </w:r>
      <w:proofErr w:type="spellStart"/>
      <w:r w:rsidRPr="00D539DE">
        <w:t>otros.Fórmula</w:t>
      </w:r>
      <w:proofErr w:type="spellEnd"/>
      <w:r w:rsidRPr="00D539DE">
        <w:t xml:space="preserve">: % Promotores - % </w:t>
      </w:r>
      <w:proofErr w:type="spellStart"/>
      <w:r w:rsidRPr="00D539DE">
        <w:t>Detractores.Objetivo</w:t>
      </w:r>
      <w:proofErr w:type="spellEnd"/>
      <w:r w:rsidRPr="00D539DE">
        <w:t xml:space="preserve">: Mantener un NPS por encima de 50, lo cual indica una base sólida de promotores activos de la </w:t>
      </w:r>
      <w:proofErr w:type="spellStart"/>
      <w:r w:rsidRPr="00D539DE">
        <w:t>marca.Tasa</w:t>
      </w:r>
      <w:proofErr w:type="spellEnd"/>
      <w:r w:rsidRPr="00D539DE">
        <w:t xml:space="preserve"> de Retención de </w:t>
      </w:r>
      <w:proofErr w:type="spellStart"/>
      <w:r w:rsidRPr="00D539DE">
        <w:t>Clientes:Descripción</w:t>
      </w:r>
      <w:proofErr w:type="spellEnd"/>
      <w:r w:rsidRPr="00D539DE">
        <w:t xml:space="preserve">: Mide el porcentaje de clientes que continúan usando la herramienta durante un periodo </w:t>
      </w:r>
      <w:proofErr w:type="spellStart"/>
      <w:r w:rsidRPr="00D539DE">
        <w:t>específico.Fórmula</w:t>
      </w:r>
      <w:proofErr w:type="spellEnd"/>
      <w:r w:rsidRPr="00D539DE">
        <w:t xml:space="preserve">: ((Clientes al final del periodo - Nuevos clientes) / Clientes al inicio del periodo) * 100.Objetivo: Mantener una tasa de retención de clientes por encima del 90%, minimizando el churn.4. Indicadores </w:t>
      </w:r>
      <w:proofErr w:type="spellStart"/>
      <w:r w:rsidRPr="00D539DE">
        <w:t>FinancierosRetorno</w:t>
      </w:r>
      <w:proofErr w:type="spellEnd"/>
      <w:r w:rsidRPr="00D539DE">
        <w:t xml:space="preserve"> de la Inversión (ROI):Descripción: Mide el rendimiento financiero que se obtiene de la inversión en la expansión de la herramienta a nuevos </w:t>
      </w:r>
      <w:proofErr w:type="spellStart"/>
      <w:r w:rsidRPr="00D539DE">
        <w:t>mercados.Fórmula</w:t>
      </w:r>
      <w:proofErr w:type="spellEnd"/>
      <w:r w:rsidRPr="00D539DE">
        <w:t xml:space="preserve">: (Ganancias obtenidas - Inversión) / Inversión * 100.Objetivo: Lograr un ROI positivo dentro del primer año de expansión, con un objetivo del 20-30%.Tasa de Crecimiento de </w:t>
      </w:r>
      <w:proofErr w:type="spellStart"/>
      <w:r w:rsidRPr="00D539DE">
        <w:t>Ingresos:Descripción</w:t>
      </w:r>
      <w:proofErr w:type="spellEnd"/>
      <w:r w:rsidRPr="00D539DE">
        <w:t xml:space="preserve">: Mide el incremento porcentual en los ingresos generados por la herramienta en nuevos </w:t>
      </w:r>
      <w:proofErr w:type="spellStart"/>
      <w:r w:rsidRPr="00D539DE">
        <w:t>mercados.Fórmula</w:t>
      </w:r>
      <w:proofErr w:type="spellEnd"/>
      <w:r w:rsidRPr="00D539DE">
        <w:t xml:space="preserve">: ((Ingresos actuales - Ingresos anteriores) / Ingresos anteriores) * 100.Objetivo: Incrementar los ingresos en un 25-40% en los primeros 12 meses de expansión internacional.5. Indicadores de </w:t>
      </w:r>
      <w:proofErr w:type="spellStart"/>
      <w:r w:rsidRPr="00D539DE">
        <w:t>MercadoTasa</w:t>
      </w:r>
      <w:proofErr w:type="spellEnd"/>
      <w:r w:rsidRPr="00D539DE">
        <w:t xml:space="preserve"> de Adopción en Nuevos </w:t>
      </w:r>
      <w:proofErr w:type="spellStart"/>
      <w:r w:rsidRPr="00D539DE">
        <w:t>Mercados:Descripción</w:t>
      </w:r>
      <w:proofErr w:type="spellEnd"/>
      <w:r w:rsidRPr="00D539DE">
        <w:t xml:space="preserve">: Mide la velocidad con la que los usuarios en los mercados internacionales adoptan la herramienta tras su </w:t>
      </w:r>
      <w:proofErr w:type="spellStart"/>
      <w:r w:rsidRPr="00D539DE">
        <w:t>lanzamiento.Objetivo</w:t>
      </w:r>
      <w:proofErr w:type="spellEnd"/>
      <w:r w:rsidRPr="00D539DE">
        <w:t xml:space="preserve">: Lograr una penetración del 10-15% del mercado objetivo en el primer </w:t>
      </w:r>
      <w:proofErr w:type="spellStart"/>
      <w:r w:rsidRPr="00D539DE">
        <w:t>año.Posicionamiento</w:t>
      </w:r>
      <w:proofErr w:type="spellEnd"/>
      <w:r w:rsidRPr="00D539DE">
        <w:t xml:space="preserve"> de </w:t>
      </w:r>
      <w:proofErr w:type="spellStart"/>
      <w:r w:rsidRPr="00D539DE">
        <w:t>Marca:Descripción</w:t>
      </w:r>
      <w:proofErr w:type="spellEnd"/>
      <w:r w:rsidRPr="00D539DE">
        <w:t xml:space="preserve">: Evalúa el reconocimiento y percepción de la herramienta en los nuevos mercados. Esto puede medirse a través de encuestas de marca y análisis de sentimiento en redes </w:t>
      </w:r>
      <w:proofErr w:type="spellStart"/>
      <w:r w:rsidRPr="00D539DE">
        <w:t>sociales.Objetivo</w:t>
      </w:r>
      <w:proofErr w:type="spellEnd"/>
      <w:r w:rsidRPr="00D539DE">
        <w:t xml:space="preserve">: Aumentar el conocimiento de marca en los mercados objetivo en un 20% durante el primer año, y posicionar la herramienta como líder en análisis predictivo en </w:t>
      </w:r>
      <w:proofErr w:type="spellStart"/>
      <w:r w:rsidRPr="00D539DE">
        <w:t>GCP.Conclusión:Estos</w:t>
      </w:r>
      <w:proofErr w:type="spellEnd"/>
      <w:r w:rsidRPr="00D539DE">
        <w:t xml:space="preserve"> </w:t>
      </w:r>
      <w:proofErr w:type="spellStart"/>
      <w:r w:rsidRPr="00D539DE">
        <w:t>KPIs</w:t>
      </w:r>
      <w:proofErr w:type="spellEnd"/>
      <w:r w:rsidRPr="00D539DE">
        <w:t xml:space="preserve"> ofrecen una visión integral del rendimiento tanto técnico como comercial de la herramienta. Al medir estas métricas de manera regular, podrás evaluar el progreso hacia los objetivos de expansión, asegurar la satisfacción del cliente, y optimizar el rendimiento financiero y de producto.</w:t>
      </w:r>
    </w:p>
    <w:sectPr w:rsidR="00D539DE">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DE"/>
    <w:rsid w:val="006368C6"/>
    <w:rsid w:val="00D539D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75BF3C5-218F-6147-8A76-24731153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539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539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539D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539D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539D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539D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539D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539D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539D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39D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539D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539D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539D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539D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539D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539D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539D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539DE"/>
    <w:rPr>
      <w:rFonts w:eastAsiaTheme="majorEastAsia" w:cstheme="majorBidi"/>
      <w:color w:val="272727" w:themeColor="text1" w:themeTint="D8"/>
    </w:rPr>
  </w:style>
  <w:style w:type="paragraph" w:styleId="Ttulo">
    <w:name w:val="Title"/>
    <w:basedOn w:val="Normal"/>
    <w:next w:val="Normal"/>
    <w:link w:val="TtuloCar"/>
    <w:uiPriority w:val="10"/>
    <w:qFormat/>
    <w:rsid w:val="00D539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539D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539D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539D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539DE"/>
    <w:pPr>
      <w:spacing w:before="160"/>
      <w:jc w:val="center"/>
    </w:pPr>
    <w:rPr>
      <w:i/>
      <w:iCs/>
      <w:color w:val="404040" w:themeColor="text1" w:themeTint="BF"/>
    </w:rPr>
  </w:style>
  <w:style w:type="character" w:customStyle="1" w:styleId="CitaCar">
    <w:name w:val="Cita Car"/>
    <w:basedOn w:val="Fuentedeprrafopredeter"/>
    <w:link w:val="Cita"/>
    <w:uiPriority w:val="29"/>
    <w:rsid w:val="00D539DE"/>
    <w:rPr>
      <w:i/>
      <w:iCs/>
      <w:color w:val="404040" w:themeColor="text1" w:themeTint="BF"/>
    </w:rPr>
  </w:style>
  <w:style w:type="paragraph" w:styleId="Prrafodelista">
    <w:name w:val="List Paragraph"/>
    <w:basedOn w:val="Normal"/>
    <w:uiPriority w:val="34"/>
    <w:qFormat/>
    <w:rsid w:val="00D539DE"/>
    <w:pPr>
      <w:ind w:left="720"/>
      <w:contextualSpacing/>
    </w:pPr>
  </w:style>
  <w:style w:type="character" w:styleId="nfasisintenso">
    <w:name w:val="Intense Emphasis"/>
    <w:basedOn w:val="Fuentedeprrafopredeter"/>
    <w:uiPriority w:val="21"/>
    <w:qFormat/>
    <w:rsid w:val="00D539DE"/>
    <w:rPr>
      <w:i/>
      <w:iCs/>
      <w:color w:val="0F4761" w:themeColor="accent1" w:themeShade="BF"/>
    </w:rPr>
  </w:style>
  <w:style w:type="paragraph" w:styleId="Citadestacada">
    <w:name w:val="Intense Quote"/>
    <w:basedOn w:val="Normal"/>
    <w:next w:val="Normal"/>
    <w:link w:val="CitadestacadaCar"/>
    <w:uiPriority w:val="30"/>
    <w:qFormat/>
    <w:rsid w:val="00D539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539DE"/>
    <w:rPr>
      <w:i/>
      <w:iCs/>
      <w:color w:val="0F4761" w:themeColor="accent1" w:themeShade="BF"/>
    </w:rPr>
  </w:style>
  <w:style w:type="character" w:styleId="Referenciaintensa">
    <w:name w:val="Intense Reference"/>
    <w:basedOn w:val="Fuentedeprrafopredeter"/>
    <w:uiPriority w:val="32"/>
    <w:qFormat/>
    <w:rsid w:val="00D539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786</Words>
  <Characters>4328</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leonardo Peña Garcia</dc:creator>
  <cp:keywords/>
  <dc:description/>
  <cp:lastModifiedBy>Omar leonardo Peña Garcia</cp:lastModifiedBy>
  <cp:revision>2</cp:revision>
  <dcterms:created xsi:type="dcterms:W3CDTF">2024-09-20T03:35:00Z</dcterms:created>
  <dcterms:modified xsi:type="dcterms:W3CDTF">2024-09-20T03:35:00Z</dcterms:modified>
</cp:coreProperties>
</file>