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Tipos de Monetización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Clientes principales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Viveros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Estos son clientes clave, ya que buscan optimizar sus procesos y garantizar la supervivencia de las plantas hasta el trasplante al páramo.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Organizaciones gubernamentales y ONGs ambientales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Pueden estar interesadas en usar la plataforma para monitorear proyectos de reforestación a gran escala y cumplir con sus objetivos ecológicos.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Empresas privadas con iniciativas de sostenibilidad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Algunas compañías están interesadas en proyectos de reforestación como parte de sus programas de responsabilidad social empresarial.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