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Oferta de Valor</w:t>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El proyecto se enfoca en optimizar el proceso de restauración ecológica, asegurando un seguimiento detallado y continuo del ciclo de vida de las plantas cultivadas. A través del uso de tecnologías avanzadas como sensores, drones e imágenes satelitales, el proyecto proporciona a viveros y entidades dedicadas a la restauración una herramienta integral de monitoreo. Esto les permite anticipar y ajustar las condiciones necesarias para maximizar la supervivencia de las plantas, tanto en el vivero como en el páramo, promoviendo una restauración más eficiente y sostenible.</w:t>
      </w:r>
    </w:p>
    <w:p w:rsidR="00000000" w:rsidDel="00000000" w:rsidP="00000000" w:rsidRDefault="00000000" w:rsidRPr="00000000" w14:paraId="00000003">
      <w:pPr>
        <w:spacing w:after="160" w:line="259" w:lineRule="auto"/>
        <w:rPr/>
      </w:pPr>
      <w:r w:rsidDel="00000000" w:rsidR="00000000" w:rsidRPr="00000000">
        <w:rPr>
          <w:rFonts w:ascii="Calibri" w:cs="Calibri" w:eastAsia="Calibri" w:hAnsi="Calibri"/>
          <w:rtl w:val="0"/>
        </w:rPr>
        <w:t xml:space="preserve">La solución no solo facilita la toma de decisiones basada en datos, sino que también incluye una capa predictiva para evaluar el estado de las plantas en diversas etapas. Esto mejora la eficiencia operativa y reduce los riesgos de pérdidas en el proceso de restauración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