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85EC" w14:textId="5B23EF91" w:rsidR="00EB138E" w:rsidRPr="007B6BF7" w:rsidRDefault="007B6BF7">
      <w:pPr>
        <w:rPr>
          <w:lang w:val="es-ES_tradnl"/>
        </w:rPr>
      </w:pPr>
      <w:r>
        <w:rPr>
          <w:lang w:val="es-ES_tradnl"/>
        </w:rPr>
        <w:t>Se adquiere el dominio:  https://vitaesalud.com</w:t>
      </w:r>
    </w:p>
    <w:sectPr w:rsidR="00EB138E" w:rsidRPr="007B6B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F7"/>
    <w:rsid w:val="007B6BF7"/>
    <w:rsid w:val="00E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5F341"/>
  <w15:chartTrackingRefBased/>
  <w15:docId w15:val="{8DA3FF0A-E0C8-4D4F-83CA-9516BA5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2024-07-03T15:26:00Z</dcterms:created>
  <dcterms:modified xsi:type="dcterms:W3CDTF">2024-07-03T15:27:00Z</dcterms:modified>
</cp:coreProperties>
</file>